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86D2" w14:textId="7F94DBAB" w:rsidR="00663761" w:rsidRDefault="00663761" w:rsidP="00663761">
      <w:r>
        <w:drawing>
          <wp:anchor distT="0" distB="0" distL="114300" distR="114300" simplePos="0" relativeHeight="251661824" behindDoc="0" locked="0" layoutInCell="1" allowOverlap="1" wp14:anchorId="6FB71FB9" wp14:editId="588C9BAA">
            <wp:simplePos x="0" y="0"/>
            <wp:positionH relativeFrom="column">
              <wp:posOffset>4174490</wp:posOffset>
            </wp:positionH>
            <wp:positionV relativeFrom="paragraph">
              <wp:posOffset>-302260</wp:posOffset>
            </wp:positionV>
            <wp:extent cx="2634122" cy="838200"/>
            <wp:effectExtent l="0" t="0" r="0" b="0"/>
            <wp:wrapThrough wrapText="bothSides">
              <wp:wrapPolygon edited="0">
                <wp:start x="1562" y="4909"/>
                <wp:lineTo x="1718" y="16200"/>
                <wp:lineTo x="9998" y="16200"/>
                <wp:lineTo x="9686" y="13745"/>
                <wp:lineTo x="14685" y="13745"/>
                <wp:lineTo x="19996" y="9818"/>
                <wp:lineTo x="19840" y="4909"/>
                <wp:lineTo x="1562" y="4909"/>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4122" cy="838200"/>
                    </a:xfrm>
                    <a:prstGeom prst="rect">
                      <a:avLst/>
                    </a:prstGeom>
                  </pic:spPr>
                </pic:pic>
              </a:graphicData>
            </a:graphic>
          </wp:anchor>
        </w:drawing>
      </w:r>
    </w:p>
    <w:p w14:paraId="6A485FA4" w14:textId="3031BFB9" w:rsidR="00663761" w:rsidRDefault="00663761" w:rsidP="00663761"/>
    <w:p w14:paraId="27EE5ADB" w14:textId="7EDFCCED" w:rsidR="00663761" w:rsidRDefault="00663761" w:rsidP="00663761"/>
    <w:p w14:paraId="0D0A39CE" w14:textId="653B68C4" w:rsidR="00720DB5" w:rsidRDefault="00720DB5" w:rsidP="00EF6BBB">
      <w:pPr>
        <w:pStyle w:val="Title"/>
      </w:pPr>
      <w:r w:rsidRPr="00427631">
        <w:t>Havant Thicket</w:t>
      </w:r>
      <w:r>
        <w:t xml:space="preserve"> </w:t>
      </w:r>
      <w:r w:rsidR="00726A48">
        <w:t>d</w:t>
      </w:r>
      <w:r>
        <w:t>eal</w:t>
      </w:r>
      <w:r w:rsidR="00C313AF">
        <w:t>: factsheet</w:t>
      </w:r>
      <w:r w:rsidRPr="00427631">
        <w:t xml:space="preserve"> </w:t>
      </w:r>
    </w:p>
    <w:tbl>
      <w:tblPr>
        <w:tblStyle w:val="UKIB"/>
        <w:tblW w:w="0" w:type="auto"/>
        <w:tblLook w:val="04A0" w:firstRow="1" w:lastRow="0" w:firstColumn="1" w:lastColumn="0" w:noHBand="0" w:noVBand="1"/>
      </w:tblPr>
      <w:tblGrid>
        <w:gridCol w:w="1928"/>
        <w:gridCol w:w="3260"/>
        <w:gridCol w:w="5103"/>
      </w:tblGrid>
      <w:tr w:rsidR="008F543D" w14:paraId="1C71465D" w14:textId="3CF51512" w:rsidTr="00CB4008">
        <w:trPr>
          <w:cnfStyle w:val="100000000000" w:firstRow="1" w:lastRow="0" w:firstColumn="0" w:lastColumn="0" w:oddVBand="0" w:evenVBand="0" w:oddHBand="0" w:evenHBand="0" w:firstRowFirstColumn="0" w:firstRowLastColumn="0" w:lastRowFirstColumn="0" w:lastRowLastColumn="0"/>
        </w:trPr>
        <w:tc>
          <w:tcPr>
            <w:tcW w:w="5188" w:type="dxa"/>
            <w:gridSpan w:val="2"/>
          </w:tcPr>
          <w:p w14:paraId="7723333B" w14:textId="74B2AB2C" w:rsidR="008F543D" w:rsidRPr="00350089" w:rsidRDefault="008F543D" w:rsidP="00EF6BBB">
            <w:pPr>
              <w:rPr>
                <w:rFonts w:eastAsia="Times New Roman" w:cs="Calibri"/>
                <w:b/>
                <w:bCs/>
                <w:lang w:eastAsia="en-GB"/>
              </w:rPr>
            </w:pPr>
            <w:r w:rsidRPr="00350089">
              <w:rPr>
                <w:b/>
                <w:bCs/>
                <w:lang w:eastAsia="en-GB"/>
              </w:rPr>
              <w:t>Deal Information</w:t>
            </w:r>
          </w:p>
        </w:tc>
        <w:tc>
          <w:tcPr>
            <w:tcW w:w="5103" w:type="dxa"/>
            <w:vMerge w:val="restart"/>
            <w:shd w:val="clear" w:color="auto" w:fill="auto"/>
            <w:tcMar>
              <w:left w:w="227" w:type="dxa"/>
            </w:tcMar>
          </w:tcPr>
          <w:p w14:paraId="21362F07" w14:textId="463A6820" w:rsidR="008F543D" w:rsidRPr="00350089" w:rsidRDefault="008F543D" w:rsidP="00EF6BBB">
            <w:pPr>
              <w:rPr>
                <w:b/>
                <w:bCs/>
                <w:lang w:eastAsia="en-GB"/>
              </w:rPr>
            </w:pPr>
            <w:r>
              <w:rPr>
                <w:bCs/>
              </w:rPr>
              <w:drawing>
                <wp:anchor distT="0" distB="0" distL="114300" distR="114300" simplePos="0" relativeHeight="251659776" behindDoc="0" locked="0" layoutInCell="1" allowOverlap="1" wp14:anchorId="2FAB1CB2" wp14:editId="1FAB52C3">
                  <wp:simplePos x="0" y="0"/>
                  <wp:positionH relativeFrom="column">
                    <wp:posOffset>5715</wp:posOffset>
                  </wp:positionH>
                  <wp:positionV relativeFrom="paragraph">
                    <wp:posOffset>304165</wp:posOffset>
                  </wp:positionV>
                  <wp:extent cx="3092450" cy="2303355"/>
                  <wp:effectExtent l="57150" t="57150" r="69850" b="781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2450" cy="2303355"/>
                          </a:xfrm>
                          <a:prstGeom prst="rect">
                            <a:avLst/>
                          </a:prstGeom>
                          <a:noFill/>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hyperlink r:id="rId9" w:tgtFrame="_blank" w:history="1">
              <w:r>
                <w:rPr>
                  <w:rStyle w:val="normaltextrun"/>
                  <w:rFonts w:cs="Segoe UI"/>
                  <w:b/>
                  <w:bCs/>
                  <w:color w:val="0000FF"/>
                  <w:u w:val="single"/>
                  <w:shd w:val="clear" w:color="auto" w:fill="FFFFFF"/>
                </w:rPr>
                <w:t>Link to interactive map</w:t>
              </w:r>
            </w:hyperlink>
            <w:r>
              <w:rPr>
                <w:rStyle w:val="eop"/>
                <w:color w:val="000000"/>
                <w:shd w:val="clear" w:color="auto" w:fill="FFFFFF"/>
              </w:rPr>
              <w:t> </w:t>
            </w:r>
          </w:p>
        </w:tc>
      </w:tr>
      <w:tr w:rsidR="008F543D" w14:paraId="0B995287" w14:textId="10201686" w:rsidTr="00CB4008">
        <w:trPr>
          <w:cnfStyle w:val="000000100000" w:firstRow="0" w:lastRow="0" w:firstColumn="0" w:lastColumn="0" w:oddVBand="0" w:evenVBand="0" w:oddHBand="1" w:evenHBand="0" w:firstRowFirstColumn="0" w:firstRowLastColumn="0" w:lastRowFirstColumn="0" w:lastRowLastColumn="0"/>
          <w:trHeight w:val="284"/>
        </w:trPr>
        <w:tc>
          <w:tcPr>
            <w:tcW w:w="1928" w:type="dxa"/>
            <w:vAlign w:val="center"/>
          </w:tcPr>
          <w:p w14:paraId="253CA0AB" w14:textId="3F0BF56E" w:rsidR="008F543D" w:rsidRPr="00350089" w:rsidRDefault="008F543D" w:rsidP="00EF6BBB">
            <w:pPr>
              <w:rPr>
                <w:b/>
                <w:bCs/>
                <w:lang w:eastAsia="en-GB"/>
              </w:rPr>
            </w:pPr>
            <w:r w:rsidRPr="00350089">
              <w:rPr>
                <w:b/>
                <w:bCs/>
                <w:lang w:eastAsia="en-GB"/>
              </w:rPr>
              <w:t>Deal signed</w:t>
            </w:r>
          </w:p>
        </w:tc>
        <w:tc>
          <w:tcPr>
            <w:tcW w:w="3260" w:type="dxa"/>
            <w:vAlign w:val="center"/>
          </w:tcPr>
          <w:p w14:paraId="21EC9192" w14:textId="1DF031E8" w:rsidR="008F543D" w:rsidRPr="000E6DEE" w:rsidRDefault="008F543D" w:rsidP="00EF6BBB">
            <w:pPr>
              <w:rPr>
                <w:bCs/>
                <w:lang w:eastAsia="en-GB"/>
              </w:rPr>
            </w:pPr>
            <w:r>
              <w:rPr>
                <w:lang w:eastAsia="en-GB"/>
              </w:rPr>
              <w:t>1</w:t>
            </w:r>
            <w:r w:rsidR="008A505C">
              <w:rPr>
                <w:lang w:eastAsia="en-GB"/>
              </w:rPr>
              <w:t>5</w:t>
            </w:r>
            <w:r w:rsidRPr="000E6DEE">
              <w:rPr>
                <w:lang w:eastAsia="en-GB"/>
              </w:rPr>
              <w:t>/</w:t>
            </w:r>
            <w:r>
              <w:rPr>
                <w:lang w:eastAsia="en-GB"/>
              </w:rPr>
              <w:t>03</w:t>
            </w:r>
            <w:r w:rsidRPr="000E6DEE">
              <w:rPr>
                <w:lang w:eastAsia="en-GB"/>
              </w:rPr>
              <w:t>/2023</w:t>
            </w:r>
          </w:p>
        </w:tc>
        <w:tc>
          <w:tcPr>
            <w:tcW w:w="5103" w:type="dxa"/>
            <w:vMerge/>
            <w:shd w:val="clear" w:color="auto" w:fill="auto"/>
          </w:tcPr>
          <w:p w14:paraId="3A0CBD3D" w14:textId="77777777" w:rsidR="008F543D" w:rsidRDefault="008F543D" w:rsidP="00EF6BBB">
            <w:pPr>
              <w:rPr>
                <w:lang w:eastAsia="en-GB"/>
              </w:rPr>
            </w:pPr>
          </w:p>
        </w:tc>
      </w:tr>
      <w:tr w:rsidR="008F543D" w14:paraId="42C994F1" w14:textId="1DBB1241" w:rsidTr="00CB4008">
        <w:trPr>
          <w:cnfStyle w:val="000000010000" w:firstRow="0" w:lastRow="0" w:firstColumn="0" w:lastColumn="0" w:oddVBand="0" w:evenVBand="0" w:oddHBand="0" w:evenHBand="1" w:firstRowFirstColumn="0" w:firstRowLastColumn="0" w:lastRowFirstColumn="0" w:lastRowLastColumn="0"/>
          <w:trHeight w:val="284"/>
        </w:trPr>
        <w:tc>
          <w:tcPr>
            <w:tcW w:w="1928" w:type="dxa"/>
            <w:vAlign w:val="center"/>
          </w:tcPr>
          <w:p w14:paraId="3BB33135" w14:textId="7DF23B3D" w:rsidR="008F543D" w:rsidRPr="00350089" w:rsidRDefault="008F543D" w:rsidP="00EF6BBB">
            <w:pPr>
              <w:rPr>
                <w:b/>
                <w:bCs/>
                <w:lang w:eastAsia="en-GB"/>
              </w:rPr>
            </w:pPr>
            <w:r w:rsidRPr="00350089">
              <w:rPr>
                <w:b/>
                <w:bCs/>
                <w:lang w:eastAsia="en-GB"/>
              </w:rPr>
              <w:t>Project status</w:t>
            </w:r>
          </w:p>
        </w:tc>
        <w:tc>
          <w:tcPr>
            <w:tcW w:w="3260" w:type="dxa"/>
            <w:vAlign w:val="center"/>
          </w:tcPr>
          <w:p w14:paraId="64739FE2" w14:textId="561FBDE6" w:rsidR="008F543D" w:rsidRPr="000E6DEE" w:rsidRDefault="008F543D" w:rsidP="00EF6BBB">
            <w:pPr>
              <w:rPr>
                <w:lang w:eastAsia="en-GB"/>
              </w:rPr>
            </w:pPr>
            <w:r>
              <w:rPr>
                <w:lang w:eastAsia="en-GB"/>
              </w:rPr>
              <w:t>Live</w:t>
            </w:r>
          </w:p>
        </w:tc>
        <w:tc>
          <w:tcPr>
            <w:tcW w:w="5103" w:type="dxa"/>
            <w:vMerge/>
            <w:shd w:val="clear" w:color="auto" w:fill="auto"/>
          </w:tcPr>
          <w:p w14:paraId="2CB81072" w14:textId="77777777" w:rsidR="008F543D" w:rsidRDefault="008F543D" w:rsidP="00EF6BBB">
            <w:pPr>
              <w:rPr>
                <w:lang w:eastAsia="en-GB"/>
              </w:rPr>
            </w:pPr>
          </w:p>
        </w:tc>
      </w:tr>
      <w:tr w:rsidR="008F543D" w14:paraId="5C5D54FA" w14:textId="25D964D7" w:rsidTr="00CB4008">
        <w:trPr>
          <w:cnfStyle w:val="000000100000" w:firstRow="0" w:lastRow="0" w:firstColumn="0" w:lastColumn="0" w:oddVBand="0" w:evenVBand="0" w:oddHBand="1" w:evenHBand="0" w:firstRowFirstColumn="0" w:firstRowLastColumn="0" w:lastRowFirstColumn="0" w:lastRowLastColumn="0"/>
          <w:trHeight w:val="284"/>
        </w:trPr>
        <w:tc>
          <w:tcPr>
            <w:tcW w:w="1928" w:type="dxa"/>
            <w:vAlign w:val="center"/>
          </w:tcPr>
          <w:p w14:paraId="40A50EDD" w14:textId="6CBD9619" w:rsidR="008F543D" w:rsidRPr="00350089" w:rsidRDefault="008F543D" w:rsidP="00EF6BBB">
            <w:pPr>
              <w:rPr>
                <w:b/>
                <w:bCs/>
                <w:lang w:eastAsia="en-GB"/>
              </w:rPr>
            </w:pPr>
            <w:r w:rsidRPr="00350089">
              <w:rPr>
                <w:b/>
                <w:bCs/>
                <w:lang w:eastAsia="en-GB"/>
              </w:rPr>
              <w:t>Sector</w:t>
            </w:r>
          </w:p>
        </w:tc>
        <w:tc>
          <w:tcPr>
            <w:tcW w:w="3260" w:type="dxa"/>
            <w:vAlign w:val="center"/>
          </w:tcPr>
          <w:p w14:paraId="17380D27" w14:textId="7C551E7A" w:rsidR="008F543D" w:rsidRDefault="008F543D" w:rsidP="00EF6BBB">
            <w:pPr>
              <w:rPr>
                <w:lang w:eastAsia="en-GB"/>
              </w:rPr>
            </w:pPr>
            <w:r w:rsidRPr="000E6DEE">
              <w:rPr>
                <w:lang w:eastAsia="en-GB"/>
              </w:rPr>
              <w:t>Water</w:t>
            </w:r>
          </w:p>
        </w:tc>
        <w:tc>
          <w:tcPr>
            <w:tcW w:w="5103" w:type="dxa"/>
            <w:vMerge/>
            <w:shd w:val="clear" w:color="auto" w:fill="auto"/>
          </w:tcPr>
          <w:p w14:paraId="1FFE51A4" w14:textId="77777777" w:rsidR="008F543D" w:rsidRPr="000E6DEE" w:rsidRDefault="008F543D" w:rsidP="00EF6BBB">
            <w:pPr>
              <w:rPr>
                <w:lang w:eastAsia="en-GB"/>
              </w:rPr>
            </w:pPr>
          </w:p>
        </w:tc>
      </w:tr>
      <w:tr w:rsidR="008F543D" w14:paraId="209BC707" w14:textId="16776288" w:rsidTr="00CB4008">
        <w:trPr>
          <w:cnfStyle w:val="000000010000" w:firstRow="0" w:lastRow="0" w:firstColumn="0" w:lastColumn="0" w:oddVBand="0" w:evenVBand="0" w:oddHBand="0" w:evenHBand="1" w:firstRowFirstColumn="0" w:firstRowLastColumn="0" w:lastRowFirstColumn="0" w:lastRowLastColumn="0"/>
          <w:trHeight w:val="284"/>
        </w:trPr>
        <w:tc>
          <w:tcPr>
            <w:tcW w:w="1928" w:type="dxa"/>
            <w:vAlign w:val="center"/>
          </w:tcPr>
          <w:p w14:paraId="0391E36D" w14:textId="2E3435DF" w:rsidR="008F543D" w:rsidRPr="00350089" w:rsidRDefault="008F543D" w:rsidP="00EF6BBB">
            <w:pPr>
              <w:rPr>
                <w:b/>
                <w:bCs/>
                <w:lang w:eastAsia="en-GB"/>
              </w:rPr>
            </w:pPr>
            <w:r w:rsidRPr="00350089">
              <w:rPr>
                <w:b/>
                <w:bCs/>
                <w:lang w:eastAsia="en-GB"/>
              </w:rPr>
              <w:t>Location</w:t>
            </w:r>
          </w:p>
        </w:tc>
        <w:tc>
          <w:tcPr>
            <w:tcW w:w="3260" w:type="dxa"/>
            <w:vAlign w:val="center"/>
          </w:tcPr>
          <w:p w14:paraId="0ECE6F98" w14:textId="3DB9A315" w:rsidR="008F543D" w:rsidRDefault="008F543D" w:rsidP="00EF6BBB">
            <w:pPr>
              <w:rPr>
                <w:lang w:eastAsia="en-GB"/>
              </w:rPr>
            </w:pPr>
            <w:r w:rsidRPr="007D7C3D">
              <w:rPr>
                <w:lang w:eastAsia="en-GB"/>
              </w:rPr>
              <w:t xml:space="preserve">Havant, Hampshire </w:t>
            </w:r>
            <w:r w:rsidRPr="000E6DEE">
              <w:rPr>
                <w:lang w:eastAsia="en-GB"/>
              </w:rPr>
              <w:t> </w:t>
            </w:r>
          </w:p>
        </w:tc>
        <w:tc>
          <w:tcPr>
            <w:tcW w:w="5103" w:type="dxa"/>
            <w:vMerge/>
            <w:shd w:val="clear" w:color="auto" w:fill="auto"/>
          </w:tcPr>
          <w:p w14:paraId="7D0BAA02" w14:textId="77777777" w:rsidR="008F543D" w:rsidRPr="007D7C3D" w:rsidRDefault="008F543D" w:rsidP="00EF6BBB">
            <w:pPr>
              <w:rPr>
                <w:lang w:eastAsia="en-GB"/>
              </w:rPr>
            </w:pPr>
          </w:p>
        </w:tc>
      </w:tr>
      <w:tr w:rsidR="008F3306" w14:paraId="03E87C05" w14:textId="77777777" w:rsidTr="00C80FFA">
        <w:trPr>
          <w:cnfStyle w:val="000000100000" w:firstRow="0" w:lastRow="0" w:firstColumn="0" w:lastColumn="0" w:oddVBand="0" w:evenVBand="0" w:oddHBand="1" w:evenHBand="0" w:firstRowFirstColumn="0" w:firstRowLastColumn="0" w:lastRowFirstColumn="0" w:lastRowLastColumn="0"/>
          <w:trHeight w:val="284"/>
        </w:trPr>
        <w:tc>
          <w:tcPr>
            <w:tcW w:w="1928" w:type="dxa"/>
          </w:tcPr>
          <w:p w14:paraId="626E7905" w14:textId="27BB3F08" w:rsidR="008F3306" w:rsidRPr="008F3306" w:rsidRDefault="008F3306" w:rsidP="008F3306">
            <w:pPr>
              <w:rPr>
                <w:b/>
                <w:bCs/>
                <w:lang w:eastAsia="en-GB"/>
              </w:rPr>
            </w:pPr>
            <w:r w:rsidRPr="008F3306">
              <w:rPr>
                <w:b/>
                <w:bCs/>
                <w:lang w:eastAsia="en-GB"/>
              </w:rPr>
              <w:t>Counterparty</w:t>
            </w:r>
          </w:p>
        </w:tc>
        <w:tc>
          <w:tcPr>
            <w:tcW w:w="3260" w:type="dxa"/>
          </w:tcPr>
          <w:p w14:paraId="43258F2E" w14:textId="27A5B675" w:rsidR="008F3306" w:rsidRPr="007D7C3D" w:rsidRDefault="008F3306" w:rsidP="008F3306">
            <w:pPr>
              <w:rPr>
                <w:lang w:eastAsia="en-GB"/>
              </w:rPr>
            </w:pPr>
            <w:r w:rsidRPr="008F040E">
              <w:rPr>
                <w:lang w:eastAsia="en-GB"/>
              </w:rPr>
              <w:t>Portsmouth Water</w:t>
            </w:r>
            <w:r w:rsidRPr="008F040E">
              <w:rPr>
                <w:rStyle w:val="EndnoteReference"/>
                <w:rFonts w:eastAsia="Times New Roman" w:cs="Calibri"/>
                <w:bCs/>
                <w:sz w:val="18"/>
                <w:szCs w:val="18"/>
                <w:lang w:eastAsia="en-GB"/>
              </w:rPr>
              <w:endnoteReference w:id="1"/>
            </w:r>
          </w:p>
        </w:tc>
        <w:tc>
          <w:tcPr>
            <w:tcW w:w="5103" w:type="dxa"/>
            <w:vMerge/>
            <w:shd w:val="clear" w:color="auto" w:fill="auto"/>
          </w:tcPr>
          <w:p w14:paraId="12F2B3CD" w14:textId="77777777" w:rsidR="008F3306" w:rsidRPr="007D7C3D" w:rsidRDefault="008F3306" w:rsidP="008F3306">
            <w:pPr>
              <w:rPr>
                <w:lang w:eastAsia="en-GB"/>
              </w:rPr>
            </w:pPr>
          </w:p>
        </w:tc>
      </w:tr>
      <w:tr w:rsidR="008F543D" w14:paraId="6E196E07" w14:textId="4DF0B8B4" w:rsidTr="00CB4008">
        <w:trPr>
          <w:cnfStyle w:val="000000010000" w:firstRow="0" w:lastRow="0" w:firstColumn="0" w:lastColumn="0" w:oddVBand="0" w:evenVBand="0" w:oddHBand="0" w:evenHBand="1" w:firstRowFirstColumn="0" w:firstRowLastColumn="0" w:lastRowFirstColumn="0" w:lastRowLastColumn="0"/>
          <w:trHeight w:val="284"/>
        </w:trPr>
        <w:tc>
          <w:tcPr>
            <w:tcW w:w="1928" w:type="dxa"/>
            <w:vAlign w:val="center"/>
          </w:tcPr>
          <w:p w14:paraId="132F22D9" w14:textId="36132F4A" w:rsidR="008F543D" w:rsidRPr="00350089" w:rsidRDefault="008F543D" w:rsidP="00EF6BBB">
            <w:pPr>
              <w:rPr>
                <w:b/>
                <w:bCs/>
                <w:lang w:eastAsia="en-GB"/>
              </w:rPr>
            </w:pPr>
            <w:r w:rsidRPr="00350089">
              <w:rPr>
                <w:b/>
                <w:bCs/>
                <w:lang w:eastAsia="en-GB"/>
              </w:rPr>
              <w:t>Total Cost</w:t>
            </w:r>
          </w:p>
        </w:tc>
        <w:tc>
          <w:tcPr>
            <w:tcW w:w="3260" w:type="dxa"/>
            <w:vAlign w:val="center"/>
          </w:tcPr>
          <w:p w14:paraId="1258A75E" w14:textId="43796904" w:rsidR="008F543D" w:rsidRDefault="008669BB" w:rsidP="008669BB">
            <w:pPr>
              <w:rPr>
                <w:lang w:eastAsia="en-GB"/>
              </w:rPr>
            </w:pPr>
            <w:r w:rsidRPr="008F040E">
              <w:rPr>
                <w:lang w:eastAsia="en-GB"/>
              </w:rPr>
              <w:t>£339m</w:t>
            </w:r>
            <w:r w:rsidRPr="008F040E">
              <w:rPr>
                <w:rStyle w:val="EndnoteReference"/>
                <w:rFonts w:eastAsia="Times New Roman" w:cs="Calibri"/>
                <w:sz w:val="18"/>
                <w:szCs w:val="18"/>
                <w:lang w:eastAsia="en-GB"/>
              </w:rPr>
              <w:endnoteReference w:id="2"/>
            </w:r>
          </w:p>
        </w:tc>
        <w:tc>
          <w:tcPr>
            <w:tcW w:w="5103" w:type="dxa"/>
            <w:vMerge/>
            <w:shd w:val="clear" w:color="auto" w:fill="auto"/>
          </w:tcPr>
          <w:p w14:paraId="26EABE1D" w14:textId="77777777" w:rsidR="008F543D" w:rsidRPr="007D7C3D" w:rsidRDefault="008F543D" w:rsidP="00EF6BBB">
            <w:pPr>
              <w:rPr>
                <w:lang w:eastAsia="en-GB"/>
              </w:rPr>
            </w:pPr>
          </w:p>
        </w:tc>
      </w:tr>
      <w:tr w:rsidR="008F543D" w14:paraId="5D73B09F" w14:textId="13489EDA" w:rsidTr="00CB4008">
        <w:trPr>
          <w:cnfStyle w:val="000000100000" w:firstRow="0" w:lastRow="0" w:firstColumn="0" w:lastColumn="0" w:oddVBand="0" w:evenVBand="0" w:oddHBand="1" w:evenHBand="0" w:firstRowFirstColumn="0" w:firstRowLastColumn="0" w:lastRowFirstColumn="0" w:lastRowLastColumn="0"/>
          <w:trHeight w:val="284"/>
        </w:trPr>
        <w:tc>
          <w:tcPr>
            <w:tcW w:w="1928" w:type="dxa"/>
            <w:vAlign w:val="center"/>
          </w:tcPr>
          <w:p w14:paraId="609EFB2D" w14:textId="3137B6A1" w:rsidR="008F543D" w:rsidRPr="00350089" w:rsidRDefault="008F543D" w:rsidP="00EF6BBB">
            <w:pPr>
              <w:rPr>
                <w:b/>
                <w:bCs/>
                <w:lang w:eastAsia="en-GB"/>
              </w:rPr>
            </w:pPr>
            <w:r w:rsidRPr="00350089">
              <w:rPr>
                <w:b/>
                <w:bCs/>
                <w:lang w:eastAsia="en-GB"/>
              </w:rPr>
              <w:t>UKIB Finance</w:t>
            </w:r>
          </w:p>
        </w:tc>
        <w:tc>
          <w:tcPr>
            <w:tcW w:w="3260" w:type="dxa"/>
            <w:vAlign w:val="center"/>
          </w:tcPr>
          <w:p w14:paraId="4E16D845" w14:textId="1388EBBC" w:rsidR="008F543D" w:rsidRDefault="008F543D" w:rsidP="00EF6BBB">
            <w:pPr>
              <w:rPr>
                <w:lang w:eastAsia="en-GB"/>
              </w:rPr>
            </w:pPr>
            <w:r w:rsidRPr="007D7C3D">
              <w:rPr>
                <w:lang w:eastAsia="en-GB"/>
              </w:rPr>
              <w:t>£50m</w:t>
            </w:r>
          </w:p>
        </w:tc>
        <w:tc>
          <w:tcPr>
            <w:tcW w:w="5103" w:type="dxa"/>
            <w:vMerge/>
            <w:shd w:val="clear" w:color="auto" w:fill="auto"/>
          </w:tcPr>
          <w:p w14:paraId="6402D7DA" w14:textId="77777777" w:rsidR="008F543D" w:rsidRPr="007D7C3D" w:rsidRDefault="008F543D" w:rsidP="00EF6BBB">
            <w:pPr>
              <w:rPr>
                <w:lang w:eastAsia="en-GB"/>
              </w:rPr>
            </w:pPr>
          </w:p>
        </w:tc>
      </w:tr>
      <w:tr w:rsidR="008F543D" w14:paraId="70510D04" w14:textId="69F5A6DE" w:rsidTr="00CB4008">
        <w:trPr>
          <w:cnfStyle w:val="000000010000" w:firstRow="0" w:lastRow="0" w:firstColumn="0" w:lastColumn="0" w:oddVBand="0" w:evenVBand="0" w:oddHBand="0" w:evenHBand="1" w:firstRowFirstColumn="0" w:firstRowLastColumn="0" w:lastRowFirstColumn="0" w:lastRowLastColumn="0"/>
          <w:trHeight w:val="284"/>
        </w:trPr>
        <w:tc>
          <w:tcPr>
            <w:tcW w:w="1928" w:type="dxa"/>
            <w:vAlign w:val="center"/>
          </w:tcPr>
          <w:p w14:paraId="3A4BB0A2" w14:textId="02B217DC" w:rsidR="008F543D" w:rsidRPr="00350089" w:rsidRDefault="008F543D" w:rsidP="00EF6BBB">
            <w:pPr>
              <w:rPr>
                <w:b/>
                <w:bCs/>
                <w:lang w:eastAsia="en-GB"/>
              </w:rPr>
            </w:pPr>
            <w:r w:rsidRPr="00350089">
              <w:rPr>
                <w:b/>
                <w:bCs/>
                <w:lang w:eastAsia="en-GB"/>
              </w:rPr>
              <w:t>Product</w:t>
            </w:r>
          </w:p>
        </w:tc>
        <w:tc>
          <w:tcPr>
            <w:tcW w:w="3260" w:type="dxa"/>
            <w:vAlign w:val="center"/>
          </w:tcPr>
          <w:p w14:paraId="04C40DC6" w14:textId="740ABC5D" w:rsidR="008F543D" w:rsidRDefault="008F543D" w:rsidP="00EF6BBB">
            <w:pPr>
              <w:rPr>
                <w:lang w:eastAsia="en-GB"/>
              </w:rPr>
            </w:pPr>
            <w:r w:rsidRPr="007D7C3D">
              <w:rPr>
                <w:lang w:eastAsia="en-GB"/>
              </w:rPr>
              <w:t>Senior Debt</w:t>
            </w:r>
          </w:p>
        </w:tc>
        <w:tc>
          <w:tcPr>
            <w:tcW w:w="5103" w:type="dxa"/>
            <w:vMerge/>
            <w:shd w:val="clear" w:color="auto" w:fill="auto"/>
          </w:tcPr>
          <w:p w14:paraId="100F7196" w14:textId="77777777" w:rsidR="008F543D" w:rsidRPr="007D7C3D" w:rsidRDefault="008F543D" w:rsidP="00EF6BBB">
            <w:pPr>
              <w:rPr>
                <w:lang w:eastAsia="en-GB"/>
              </w:rPr>
            </w:pPr>
          </w:p>
        </w:tc>
      </w:tr>
    </w:tbl>
    <w:p w14:paraId="2E102427" w14:textId="48B79776" w:rsidR="00C313AF" w:rsidRDefault="00C313AF" w:rsidP="00EF6BBB">
      <w:pPr>
        <w:pStyle w:val="Heading1"/>
      </w:pPr>
      <w:r>
        <w:t>Summary</w:t>
      </w:r>
    </w:p>
    <w:p w14:paraId="79738CC0" w14:textId="35B8AD21" w:rsidR="004A551E" w:rsidRDefault="002E244B" w:rsidP="00EF6BBB">
      <w:r w:rsidRPr="007D7C3D">
        <w:t>UK Infrastructure Bank will invest £50m in Portsmouth Water’s Havant Thicket project to build the first reservoir in the UK for 30 years</w:t>
      </w:r>
      <w:r>
        <w:rPr>
          <w:rStyle w:val="EndnoteReference"/>
        </w:rPr>
        <w:endnoteReference w:id="3"/>
      </w:r>
      <w:r w:rsidRPr="007D7C3D">
        <w:t xml:space="preserve">. This project supports both our climate change and local economic growth objectives by boosting the resilience of water supply systems for Southern England and reducing the likelihood of disruptions for local communities. </w:t>
      </w:r>
      <w:r w:rsidRPr="00CB52BD">
        <w:t>This is a collaborative</w:t>
      </w:r>
      <w:r w:rsidRPr="000E6DEE">
        <w:t xml:space="preserve"> project </w:t>
      </w:r>
      <w:r w:rsidRPr="00CB52BD">
        <w:t>between</w:t>
      </w:r>
      <w:r w:rsidRPr="000E6DEE">
        <w:t xml:space="preserve"> two companies</w:t>
      </w:r>
      <w:r w:rsidRPr="00CB52BD">
        <w:t>,</w:t>
      </w:r>
      <w:r w:rsidRPr="000E6DEE">
        <w:t xml:space="preserve"> building </w:t>
      </w:r>
      <w:r w:rsidRPr="00CB52BD">
        <w:t>a</w:t>
      </w:r>
      <w:r w:rsidRPr="000E6DEE">
        <w:t xml:space="preserve"> reservoir in </w:t>
      </w:r>
      <w:r w:rsidRPr="00CB52BD">
        <w:t>a</w:t>
      </w:r>
      <w:r w:rsidRPr="000E6DEE">
        <w:t xml:space="preserve"> water stressed area.</w:t>
      </w:r>
      <w:r w:rsidRPr="00CB52BD">
        <w:t xml:space="preserve"> </w:t>
      </w:r>
      <w:r w:rsidRPr="007D7C3D">
        <w:t>UKIB investment is needed to ensure these benefits are delivered without delay. This is the Bank’s first investment in the water sector and our first in climate resilience.</w:t>
      </w:r>
    </w:p>
    <w:p w14:paraId="49B2A1B9" w14:textId="77777777" w:rsidR="004A551E" w:rsidRDefault="004A551E" w:rsidP="004A551E">
      <w:pPr>
        <w:pStyle w:val="Heading1White"/>
      </w:pPr>
      <w:r>
        <w:t>Sector</w:t>
      </w:r>
      <w:r w:rsidRPr="000E6DEE">
        <w:t xml:space="preserve"> </w:t>
      </w:r>
      <w:r>
        <w:t>c</w:t>
      </w:r>
      <w:r w:rsidRPr="000E6DEE">
        <w:t>ontext</w:t>
      </w:r>
    </w:p>
    <w:p w14:paraId="239C0157" w14:textId="1F4F52D5" w:rsidR="004A551E" w:rsidRDefault="006A3641" w:rsidP="004A551E">
      <w:r w:rsidRPr="00C123B0">
        <w:t>In its 2022 strategic priorities for Ofwat, the Government notes the resilience of the water sector is becoming ever more important, with increasing pressure from climate change and population growth</w:t>
      </w:r>
      <w:r>
        <w:t>.</w:t>
      </w:r>
      <w:r w:rsidRPr="00C123B0">
        <w:rPr>
          <w:b/>
          <w:bCs/>
        </w:rPr>
        <w:t xml:space="preserve"> </w:t>
      </w:r>
      <w:r w:rsidRPr="002933F8">
        <w:t>According to the Environment Agency, the Southeast is ‘seriously water stressed’ and Ofwat has challenged water companies to assess options to secure water resilience, including building new reservoirs. Addressing the challenges in the water sector will require significant investment in complex, cross-boundary water solutions.</w:t>
      </w:r>
      <w:r>
        <w:t xml:space="preserve"> Water is one of UKIB’s five priority sectors.</w:t>
      </w:r>
    </w:p>
    <w:p w14:paraId="4129755E" w14:textId="77777777" w:rsidR="006A3641" w:rsidRDefault="006A3641" w:rsidP="004A551E"/>
    <w:p w14:paraId="57421594" w14:textId="22760688" w:rsidR="00C313AF" w:rsidRDefault="00720DB5" w:rsidP="00EF6BBB">
      <w:pPr>
        <w:pStyle w:val="Heading1White"/>
      </w:pPr>
      <w:r w:rsidRPr="000E6DEE">
        <w:lastRenderedPageBreak/>
        <w:t xml:space="preserve">Impact </w:t>
      </w:r>
      <w:r w:rsidRPr="00EF6BBB">
        <w:t>and</w:t>
      </w:r>
      <w:r w:rsidRPr="000E6DEE">
        <w:t xml:space="preserve"> Additionality</w:t>
      </w:r>
    </w:p>
    <w:p w14:paraId="3F6EC9D8" w14:textId="77777777" w:rsidR="006666C1" w:rsidRDefault="006666C1" w:rsidP="006666C1">
      <w:pPr>
        <w:textAlignment w:val="baseline"/>
      </w:pPr>
      <w:r>
        <w:t xml:space="preserve">This </w:t>
      </w:r>
      <w:r w:rsidRPr="007D7C3D">
        <w:t xml:space="preserve">project </w:t>
      </w:r>
      <w:r>
        <w:t>aims</w:t>
      </w:r>
      <w:r w:rsidRPr="007D7C3D">
        <w:t xml:space="preserve"> to improve </w:t>
      </w:r>
      <w:r>
        <w:t>the</w:t>
      </w:r>
      <w:r w:rsidRPr="007D7C3D">
        <w:t xml:space="preserve"> resilience of water supply systems (or services) in Southern England</w:t>
      </w:r>
      <w:r>
        <w:t>, supporting</w:t>
      </w:r>
      <w:r w:rsidRPr="007D7C3D">
        <w:t xml:space="preserve"> our climate change and local economic growth objectives. The project increase</w:t>
      </w:r>
      <w:r>
        <w:t>s</w:t>
      </w:r>
      <w:r w:rsidRPr="007D7C3D">
        <w:t xml:space="preserve"> supply of water to the </w:t>
      </w:r>
      <w:r w:rsidRPr="00D50837">
        <w:t>Southeast</w:t>
      </w:r>
      <w:r w:rsidRPr="007D7C3D">
        <w:t xml:space="preserve"> </w:t>
      </w:r>
      <w:r w:rsidRPr="02639E03">
        <w:t xml:space="preserve">by </w:t>
      </w:r>
      <w:r w:rsidRPr="007D7C3D">
        <w:t>up to 21 million litres</w:t>
      </w:r>
      <w:r w:rsidRPr="75B5E423">
        <w:t xml:space="preserve"> </w:t>
      </w:r>
      <w:r w:rsidRPr="2032DF6B">
        <w:t xml:space="preserve">per </w:t>
      </w:r>
      <w:r w:rsidRPr="2A89252D">
        <w:t>day</w:t>
      </w:r>
      <w:r>
        <w:t>,</w:t>
      </w:r>
      <w:r w:rsidRPr="007D7C3D">
        <w:t xml:space="preserve"> </w:t>
      </w:r>
      <w:r>
        <w:t>directly benefiting</w:t>
      </w:r>
      <w:r w:rsidRPr="007D7C3D">
        <w:t xml:space="preserve"> 160</w:t>
      </w:r>
      <w:r>
        <w:t>,000</w:t>
      </w:r>
      <w:r w:rsidRPr="007D7C3D">
        <w:t xml:space="preserve"> customers</w:t>
      </w:r>
      <w:r>
        <w:t xml:space="preserve"> in the catchment area</w:t>
      </w:r>
      <w:r w:rsidRPr="007D7C3D">
        <w:t xml:space="preserve">. </w:t>
      </w:r>
    </w:p>
    <w:p w14:paraId="184242DB" w14:textId="77777777" w:rsidR="006666C1" w:rsidRDefault="006666C1" w:rsidP="006666C1">
      <w:pPr>
        <w:textAlignment w:val="baseline"/>
      </w:pPr>
    </w:p>
    <w:p w14:paraId="6D1EA13C" w14:textId="5C54DBD5" w:rsidR="00EF6BBB" w:rsidRDefault="006666C1" w:rsidP="006666C1">
      <w:r>
        <w:t>E</w:t>
      </w:r>
      <w:r w:rsidRPr="009725C4">
        <w:t>vidence exists to ensure that UKIB funding is needed to reduce the delays to project construction, hence ensuring the positive impacts and indirect benefits are realised.</w:t>
      </w:r>
    </w:p>
    <w:p w14:paraId="3E826560" w14:textId="5DF05F20" w:rsidR="00F77ACF" w:rsidRDefault="00F77ACF" w:rsidP="006666C1"/>
    <w:p w14:paraId="43082262" w14:textId="59B7BFB5" w:rsidR="00F77ACF" w:rsidRDefault="003A5460" w:rsidP="003A5460">
      <w:pPr>
        <w:pStyle w:val="Heading1White"/>
      </w:pPr>
      <w:r w:rsidRPr="000E6DEE">
        <w:t>ESRG considerations</w:t>
      </w:r>
    </w:p>
    <w:p w14:paraId="697E3FEA" w14:textId="46443DEA" w:rsidR="00F77ACF" w:rsidRPr="0022242C" w:rsidRDefault="00F77ACF" w:rsidP="006666C1">
      <w:pPr>
        <w:rPr>
          <w:bCs/>
        </w:rPr>
      </w:pPr>
      <w:r w:rsidRPr="000E6DEE">
        <w:t>The Havant Thicket project has received planning permission for the project with a full Environmental Impact Assessment</w:t>
      </w:r>
      <w:r w:rsidRPr="000E6DEE">
        <w:rPr>
          <w:rStyle w:val="EndnoteReference"/>
        </w:rPr>
        <w:endnoteReference w:id="4"/>
      </w:r>
      <w:r w:rsidRPr="000E6DEE">
        <w:t>. Public consultation and environmental impact assessments have influenced the design including, for example, redesigned vehicle access; new wetlands areas; replanting/ improving 110 hectares woodland; new footpaths and improved specifications; and greening of soft landscaping.</w:t>
      </w:r>
      <w:r>
        <w:rPr>
          <w:rStyle w:val="EndnoteReference"/>
        </w:rPr>
        <w:endnoteReference w:id="5"/>
      </w:r>
    </w:p>
    <w:p w14:paraId="4AFB4A9A" w14:textId="2569E404" w:rsidR="00EF6BBB" w:rsidRDefault="00EF6BBB" w:rsidP="00EF6BBB"/>
    <w:p w14:paraId="02D6331E" w14:textId="77777777" w:rsidR="00720DB5" w:rsidRPr="000E6DEE" w:rsidRDefault="00720DB5" w:rsidP="00FA2222">
      <w:pPr>
        <w:pStyle w:val="Heading1White"/>
      </w:pPr>
      <w:r>
        <w:t>Impact</w:t>
      </w:r>
      <w:r w:rsidRPr="000E6DEE">
        <w:t xml:space="preserve"> Metrics</w:t>
      </w:r>
    </w:p>
    <w:tbl>
      <w:tblPr>
        <w:tblStyle w:val="UKIB"/>
        <w:tblpPr w:leftFromText="180" w:rightFromText="180" w:vertAnchor="text" w:horzAnchor="margin" w:tblpY="184"/>
        <w:tblW w:w="10291" w:type="dxa"/>
        <w:tblLook w:val="04A0" w:firstRow="1" w:lastRow="0" w:firstColumn="1" w:lastColumn="0" w:noHBand="0" w:noVBand="1"/>
      </w:tblPr>
      <w:tblGrid>
        <w:gridCol w:w="1985"/>
        <w:gridCol w:w="8306"/>
      </w:tblGrid>
      <w:tr w:rsidR="00720DB5" w:rsidRPr="007F383F" w14:paraId="0FEB04BB" w14:textId="77777777" w:rsidTr="007B21C2">
        <w:trPr>
          <w:cnfStyle w:val="100000000000" w:firstRow="1" w:lastRow="0" w:firstColumn="0" w:lastColumn="0" w:oddVBand="0" w:evenVBand="0" w:oddHBand="0" w:evenHBand="0" w:firstRowFirstColumn="0" w:firstRowLastColumn="0" w:lastRowFirstColumn="0" w:lastRowLastColumn="0"/>
        </w:trPr>
        <w:tc>
          <w:tcPr>
            <w:tcW w:w="1985" w:type="dxa"/>
          </w:tcPr>
          <w:p w14:paraId="6E73AE22" w14:textId="77777777" w:rsidR="00720DB5" w:rsidRPr="00350089" w:rsidRDefault="00720DB5" w:rsidP="00EF6BBB">
            <w:pPr>
              <w:rPr>
                <w:b/>
                <w:bCs/>
              </w:rPr>
            </w:pPr>
            <w:r w:rsidRPr="00350089">
              <w:rPr>
                <w:b/>
                <w:bCs/>
              </w:rPr>
              <w:t>1</w:t>
            </w:r>
          </w:p>
        </w:tc>
        <w:tc>
          <w:tcPr>
            <w:tcW w:w="8306" w:type="dxa"/>
          </w:tcPr>
          <w:p w14:paraId="66EC3CF2" w14:textId="77777777" w:rsidR="00720DB5" w:rsidRPr="00350089" w:rsidRDefault="00720DB5" w:rsidP="00EF6BBB">
            <w:pPr>
              <w:rPr>
                <w:b/>
                <w:bCs/>
              </w:rPr>
            </w:pPr>
            <w:r w:rsidRPr="00350089">
              <w:rPr>
                <w:b/>
                <w:bCs/>
              </w:rPr>
              <w:t># Deals in the Water sector</w:t>
            </w:r>
          </w:p>
        </w:tc>
      </w:tr>
      <w:tr w:rsidR="00720DB5" w:rsidRPr="007F383F" w14:paraId="05C65D5F" w14:textId="77777777" w:rsidTr="007B21C2">
        <w:trPr>
          <w:cnfStyle w:val="000000100000" w:firstRow="0" w:lastRow="0" w:firstColumn="0" w:lastColumn="0" w:oddVBand="0" w:evenVBand="0" w:oddHBand="1" w:evenHBand="0" w:firstRowFirstColumn="0" w:firstRowLastColumn="0" w:lastRowFirstColumn="0" w:lastRowLastColumn="0"/>
        </w:trPr>
        <w:tc>
          <w:tcPr>
            <w:tcW w:w="1985" w:type="dxa"/>
          </w:tcPr>
          <w:p w14:paraId="4621343A" w14:textId="77777777" w:rsidR="00720DB5" w:rsidRPr="007F383F" w:rsidRDefault="00720DB5" w:rsidP="00EF6BBB">
            <w:pPr>
              <w:rPr>
                <w:b/>
              </w:rPr>
            </w:pPr>
            <w:r w:rsidRPr="007F383F">
              <w:t>£50m</w:t>
            </w:r>
          </w:p>
        </w:tc>
        <w:tc>
          <w:tcPr>
            <w:tcW w:w="8306" w:type="dxa"/>
          </w:tcPr>
          <w:p w14:paraId="02DD7B0D" w14:textId="77777777" w:rsidR="00720DB5" w:rsidRPr="007F383F" w:rsidRDefault="00720DB5" w:rsidP="00EF6BBB">
            <w:r w:rsidRPr="007F383F">
              <w:t xml:space="preserve">Total Investment in Sector </w:t>
            </w:r>
          </w:p>
        </w:tc>
      </w:tr>
      <w:tr w:rsidR="00720DB5" w:rsidRPr="007F383F" w14:paraId="6D960005" w14:textId="77777777" w:rsidTr="007B21C2">
        <w:trPr>
          <w:cnfStyle w:val="000000010000" w:firstRow="0" w:lastRow="0" w:firstColumn="0" w:lastColumn="0" w:oddVBand="0" w:evenVBand="0" w:oddHBand="0" w:evenHBand="1" w:firstRowFirstColumn="0" w:firstRowLastColumn="0" w:lastRowFirstColumn="0" w:lastRowLastColumn="0"/>
        </w:trPr>
        <w:tc>
          <w:tcPr>
            <w:tcW w:w="1985" w:type="dxa"/>
          </w:tcPr>
          <w:p w14:paraId="25F8A91B" w14:textId="77777777" w:rsidR="00720DB5" w:rsidRPr="007F383F" w:rsidRDefault="00720DB5" w:rsidP="00EF6BBB">
            <w:pPr>
              <w:rPr>
                <w:b/>
              </w:rPr>
            </w:pPr>
            <w:r w:rsidRPr="007F383F">
              <w:t>84</w:t>
            </w:r>
          </w:p>
        </w:tc>
        <w:tc>
          <w:tcPr>
            <w:tcW w:w="8306" w:type="dxa"/>
          </w:tcPr>
          <w:p w14:paraId="4F7C45FE" w14:textId="77777777" w:rsidR="00720DB5" w:rsidRPr="007F383F" w:rsidRDefault="00720DB5" w:rsidP="00EF6BBB">
            <w:pPr>
              <w:rPr>
                <w:lang w:eastAsia="en-GB"/>
              </w:rPr>
            </w:pPr>
            <w:r w:rsidRPr="007F383F">
              <w:rPr>
                <w:lang w:eastAsia="en-GB"/>
              </w:rPr>
              <w:t xml:space="preserve">Jobs </w:t>
            </w:r>
            <w:r>
              <w:rPr>
                <w:lang w:eastAsia="en-GB"/>
              </w:rPr>
              <w:t>created (direct and indirect)</w:t>
            </w:r>
            <w:r w:rsidRPr="007F383F">
              <w:rPr>
                <w:rStyle w:val="EndnoteReference"/>
                <w:rFonts w:eastAsia="Times New Roman" w:cs="Calibri"/>
                <w:bCs/>
                <w:lang w:eastAsia="en-GB"/>
              </w:rPr>
              <w:endnoteReference w:id="6"/>
            </w:r>
            <w:r w:rsidRPr="007F383F">
              <w:rPr>
                <w:lang w:eastAsia="en-GB"/>
              </w:rPr>
              <w:t> </w:t>
            </w:r>
          </w:p>
        </w:tc>
      </w:tr>
      <w:tr w:rsidR="00720DB5" w:rsidRPr="007F383F" w14:paraId="4A604522" w14:textId="77777777" w:rsidTr="007B21C2">
        <w:trPr>
          <w:cnfStyle w:val="000000100000" w:firstRow="0" w:lastRow="0" w:firstColumn="0" w:lastColumn="0" w:oddVBand="0" w:evenVBand="0" w:oddHBand="1" w:evenHBand="0" w:firstRowFirstColumn="0" w:firstRowLastColumn="0" w:lastRowFirstColumn="0" w:lastRowLastColumn="0"/>
        </w:trPr>
        <w:tc>
          <w:tcPr>
            <w:tcW w:w="1985" w:type="dxa"/>
          </w:tcPr>
          <w:p w14:paraId="2E8BA0C6" w14:textId="77777777" w:rsidR="00720DB5" w:rsidRPr="007F383F" w:rsidRDefault="00720DB5" w:rsidP="00EF6BBB">
            <w:pPr>
              <w:rPr>
                <w:b/>
              </w:rPr>
            </w:pPr>
            <w:r w:rsidRPr="00C20143">
              <w:t>138,200 tCO2e</w:t>
            </w:r>
          </w:p>
        </w:tc>
        <w:tc>
          <w:tcPr>
            <w:tcW w:w="8306" w:type="dxa"/>
          </w:tcPr>
          <w:p w14:paraId="3DA3A791" w14:textId="77777777" w:rsidR="00720DB5" w:rsidRPr="007F383F" w:rsidRDefault="00720DB5" w:rsidP="00EF6BBB">
            <w:pPr>
              <w:rPr>
                <w:bCs/>
              </w:rPr>
            </w:pPr>
            <w:r w:rsidRPr="00427631">
              <w:rPr>
                <w:lang w:eastAsia="en-GB"/>
              </w:rPr>
              <w:t>Emissions</w:t>
            </w:r>
            <w:r>
              <w:rPr>
                <w:rStyle w:val="EndnoteReference"/>
                <w:rFonts w:eastAsia="Times New Roman" w:cs="Calibri"/>
                <w:lang w:eastAsia="en-GB"/>
              </w:rPr>
              <w:endnoteReference w:id="7"/>
            </w:r>
            <w:r w:rsidRPr="00427631">
              <w:rPr>
                <w:lang w:eastAsia="en-GB"/>
              </w:rPr>
              <w:t>  </w:t>
            </w:r>
          </w:p>
        </w:tc>
      </w:tr>
      <w:tr w:rsidR="00720DB5" w:rsidRPr="007F383F" w14:paraId="7CD51862" w14:textId="77777777" w:rsidTr="007B21C2">
        <w:trPr>
          <w:cnfStyle w:val="000000010000" w:firstRow="0" w:lastRow="0" w:firstColumn="0" w:lastColumn="0" w:oddVBand="0" w:evenVBand="0" w:oddHBand="0" w:evenHBand="1" w:firstRowFirstColumn="0" w:firstRowLastColumn="0" w:lastRowFirstColumn="0" w:lastRowLastColumn="0"/>
        </w:trPr>
        <w:tc>
          <w:tcPr>
            <w:tcW w:w="1985" w:type="dxa"/>
          </w:tcPr>
          <w:p w14:paraId="6A4912EC" w14:textId="77777777" w:rsidR="00720DB5" w:rsidRPr="007F383F" w:rsidRDefault="00720DB5" w:rsidP="00EF6BBB">
            <w:pPr>
              <w:rPr>
                <w:b/>
              </w:rPr>
            </w:pPr>
            <w:r w:rsidRPr="00C20143">
              <w:t xml:space="preserve">£230m </w:t>
            </w:r>
          </w:p>
        </w:tc>
        <w:tc>
          <w:tcPr>
            <w:tcW w:w="8306" w:type="dxa"/>
          </w:tcPr>
          <w:p w14:paraId="1067E551" w14:textId="77777777" w:rsidR="00720DB5" w:rsidRPr="007F383F" w:rsidRDefault="00720DB5" w:rsidP="00EF6BBB">
            <w:pPr>
              <w:rPr>
                <w:bCs/>
              </w:rPr>
            </w:pPr>
            <w:r w:rsidRPr="00427631">
              <w:rPr>
                <w:lang w:eastAsia="en-GB"/>
              </w:rPr>
              <w:t>Private Finance Mobilised</w:t>
            </w:r>
            <w:r>
              <w:rPr>
                <w:rStyle w:val="EndnoteReference"/>
                <w:rFonts w:eastAsia="Times New Roman" w:cs="Calibri"/>
                <w:lang w:eastAsia="en-GB"/>
              </w:rPr>
              <w:endnoteReference w:id="8"/>
            </w:r>
            <w:r w:rsidRPr="00427631">
              <w:rPr>
                <w:lang w:eastAsia="en-GB"/>
              </w:rPr>
              <w:t>  </w:t>
            </w:r>
          </w:p>
        </w:tc>
      </w:tr>
      <w:tr w:rsidR="00720DB5" w:rsidRPr="007F383F" w14:paraId="61828776" w14:textId="77777777" w:rsidTr="007B21C2">
        <w:trPr>
          <w:cnfStyle w:val="000000100000" w:firstRow="0" w:lastRow="0" w:firstColumn="0" w:lastColumn="0" w:oddVBand="0" w:evenVBand="0" w:oddHBand="1" w:evenHBand="0" w:firstRowFirstColumn="0" w:firstRowLastColumn="0" w:lastRowFirstColumn="0" w:lastRowLastColumn="0"/>
        </w:trPr>
        <w:tc>
          <w:tcPr>
            <w:tcW w:w="1985" w:type="dxa"/>
          </w:tcPr>
          <w:p w14:paraId="16155E24" w14:textId="77777777" w:rsidR="00720DB5" w:rsidRPr="00C634E2" w:rsidRDefault="00720DB5" w:rsidP="00EF6BBB">
            <w:pPr>
              <w:rPr>
                <w:b/>
              </w:rPr>
            </w:pPr>
            <w:r w:rsidRPr="00C634E2">
              <w:t>160,000</w:t>
            </w:r>
          </w:p>
        </w:tc>
        <w:tc>
          <w:tcPr>
            <w:tcW w:w="8306" w:type="dxa"/>
          </w:tcPr>
          <w:p w14:paraId="4CC94C57" w14:textId="77777777" w:rsidR="00720DB5" w:rsidRPr="00C634E2" w:rsidRDefault="00720DB5" w:rsidP="00EF6BBB">
            <w:r w:rsidRPr="00C634E2">
              <w:t>Customers</w:t>
            </w:r>
            <w:r>
              <w:t xml:space="preserve"> directly benefiting</w:t>
            </w:r>
            <w:r w:rsidRPr="00C634E2">
              <w:t xml:space="preserve"> in </w:t>
            </w:r>
            <w:r>
              <w:t xml:space="preserve">broader Southeast </w:t>
            </w:r>
            <w:r w:rsidRPr="00C634E2">
              <w:t>catchment area</w:t>
            </w:r>
          </w:p>
        </w:tc>
      </w:tr>
    </w:tbl>
    <w:p w14:paraId="599F3D40" w14:textId="77777777" w:rsidR="00720DB5" w:rsidRPr="000E6DEE" w:rsidRDefault="00720DB5" w:rsidP="00EF6BBB"/>
    <w:p w14:paraId="56438EF4" w14:textId="78D01C33" w:rsidR="00FA2222" w:rsidRDefault="00FA2222" w:rsidP="00EF6BBB"/>
    <w:p w14:paraId="62D6D081" w14:textId="6609C7FE" w:rsidR="00FA2222" w:rsidRDefault="00FA2222" w:rsidP="00EF6BBB"/>
    <w:p w14:paraId="204A4107" w14:textId="5BAD76A5" w:rsidR="00FA2222" w:rsidRDefault="00FA2222" w:rsidP="00EF6BBB"/>
    <w:p w14:paraId="754E5D84" w14:textId="77777777" w:rsidR="00FA2222" w:rsidRDefault="00FA2222" w:rsidP="00EF6BBB"/>
    <w:sectPr w:rsidR="00FA2222" w:rsidSect="00720DB5">
      <w:footerReference w:type="default" r:id="rId10"/>
      <w:footnotePr>
        <w:pos w:val="beneathText"/>
      </w:footnotePr>
      <w:pgSz w:w="11906" w:h="16838"/>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98A6" w14:textId="77777777" w:rsidR="00A615E3" w:rsidRDefault="00A615E3" w:rsidP="00EF6BBB">
      <w:r>
        <w:separator/>
      </w:r>
    </w:p>
  </w:endnote>
  <w:endnote w:type="continuationSeparator" w:id="0">
    <w:p w14:paraId="389958C2" w14:textId="77777777" w:rsidR="00A615E3" w:rsidRDefault="00A615E3" w:rsidP="00EF6BBB">
      <w:r>
        <w:continuationSeparator/>
      </w:r>
    </w:p>
  </w:endnote>
  <w:endnote w:id="1">
    <w:p w14:paraId="1B556E10" w14:textId="77777777" w:rsidR="008F3306" w:rsidRDefault="008F3306" w:rsidP="00B3582D">
      <w:pPr>
        <w:pStyle w:val="EndnoteText"/>
      </w:pPr>
      <w:r>
        <w:rPr>
          <w:rStyle w:val="EndnoteReference"/>
        </w:rPr>
        <w:endnoteRef/>
      </w:r>
      <w:r>
        <w:t xml:space="preserve"> </w:t>
      </w:r>
      <w:r w:rsidRPr="009651CF">
        <w:t>Portsmouth Water Ltd (shareholder - Ancala Partners)</w:t>
      </w:r>
      <w:r>
        <w:t>. PO Box 8, West Street, Havant, Hampshire, PO9 1LG.</w:t>
      </w:r>
    </w:p>
  </w:endnote>
  <w:endnote w:id="2">
    <w:p w14:paraId="23BE88C9" w14:textId="77777777" w:rsidR="008669BB" w:rsidRDefault="008669BB" w:rsidP="008669BB">
      <w:pPr>
        <w:pStyle w:val="EndnoteText"/>
      </w:pPr>
      <w:r>
        <w:rPr>
          <w:rStyle w:val="EndnoteReference"/>
        </w:rPr>
        <w:endnoteRef/>
      </w:r>
      <w:r>
        <w:t xml:space="preserve"> The total cost reflects the final </w:t>
      </w:r>
      <w:hyperlink r:id="rId1" w:history="1">
        <w:r>
          <w:rPr>
            <w:rStyle w:val="Hyperlink"/>
          </w:rPr>
          <w:t>Ofwat determination</w:t>
        </w:r>
      </w:hyperlink>
      <w:r>
        <w:t xml:space="preserve"> at Nov-21 prices.</w:t>
      </w:r>
    </w:p>
  </w:endnote>
  <w:endnote w:id="3">
    <w:p w14:paraId="08D69C24" w14:textId="77777777" w:rsidR="002E244B" w:rsidRDefault="002E244B" w:rsidP="002E244B">
      <w:pPr>
        <w:pStyle w:val="EndnoteText"/>
      </w:pPr>
      <w:r>
        <w:rPr>
          <w:rStyle w:val="EndnoteReference"/>
        </w:rPr>
        <w:endnoteRef/>
      </w:r>
      <w:r>
        <w:t xml:space="preserve">  The last reservoir was Carsington in 1991. CIWEM policy position statement </w:t>
      </w:r>
      <w:hyperlink r:id="rId2" w:history="1">
        <w:r w:rsidRPr="00C06235">
          <w:rPr>
            <w:rStyle w:val="Hyperlink"/>
          </w:rPr>
          <w:t>here</w:t>
        </w:r>
      </w:hyperlink>
      <w:r>
        <w:t>.</w:t>
      </w:r>
    </w:p>
  </w:endnote>
  <w:endnote w:id="4">
    <w:p w14:paraId="25A2A516" w14:textId="77777777" w:rsidR="00F77ACF" w:rsidRDefault="00F77ACF" w:rsidP="00F77ACF">
      <w:pPr>
        <w:pStyle w:val="EndnoteText"/>
      </w:pPr>
      <w:r>
        <w:rPr>
          <w:rStyle w:val="EndnoteReference"/>
        </w:rPr>
        <w:endnoteRef/>
      </w:r>
      <w:r>
        <w:t xml:space="preserve"> According to planning documents (and slides provided by Portsmouth water directly). Planning documents can be accessed </w:t>
      </w:r>
      <w:hyperlink r:id="rId3" w:history="1">
        <w:r>
          <w:rPr>
            <w:rStyle w:val="Hyperlink"/>
          </w:rPr>
          <w:t>here</w:t>
        </w:r>
      </w:hyperlink>
      <w:r>
        <w:t>.</w:t>
      </w:r>
    </w:p>
  </w:endnote>
  <w:endnote w:id="5">
    <w:p w14:paraId="6BA40D63" w14:textId="77777777" w:rsidR="00F77ACF" w:rsidRDefault="00F77ACF" w:rsidP="00F77ACF">
      <w:pPr>
        <w:pStyle w:val="EndnoteText"/>
      </w:pPr>
      <w:r>
        <w:rPr>
          <w:rStyle w:val="EndnoteReference"/>
        </w:rPr>
        <w:endnoteRef/>
      </w:r>
      <w:r>
        <w:t xml:space="preserve"> </w:t>
      </w:r>
      <w:r w:rsidRPr="007F152A">
        <w:t xml:space="preserve">We considered the ESRG performance of Portsmouth Water as a water supply company including their policies outlined </w:t>
      </w:r>
      <w:hyperlink r:id="rId4" w:history="1">
        <w:r w:rsidRPr="007F152A">
          <w:rPr>
            <w:rStyle w:val="Hyperlink"/>
          </w:rPr>
          <w:t>here</w:t>
        </w:r>
      </w:hyperlink>
      <w:r w:rsidRPr="007F152A">
        <w:t xml:space="preserve">. </w:t>
      </w:r>
    </w:p>
  </w:endnote>
  <w:endnote w:id="6">
    <w:p w14:paraId="57158010" w14:textId="77777777" w:rsidR="00720DB5" w:rsidRDefault="00720DB5" w:rsidP="00EF6BBB">
      <w:pPr>
        <w:pStyle w:val="EndnoteText"/>
      </w:pPr>
      <w:r>
        <w:rPr>
          <w:rStyle w:val="EndnoteReference"/>
        </w:rPr>
        <w:endnoteRef/>
      </w:r>
      <w:r>
        <w:t xml:space="preserve"> </w:t>
      </w:r>
      <w:r w:rsidRPr="007F383F">
        <w:t xml:space="preserve">14 </w:t>
      </w:r>
      <w:r>
        <w:t xml:space="preserve">jobs </w:t>
      </w:r>
      <w:r w:rsidRPr="007F383F">
        <w:t>attributed to UKIB’s share of the finance</w:t>
      </w:r>
      <w:r>
        <w:t>.</w:t>
      </w:r>
      <w:r w:rsidRPr="008A415B">
        <w:t xml:space="preserve"> </w:t>
      </w:r>
    </w:p>
  </w:endnote>
  <w:endnote w:id="7">
    <w:p w14:paraId="6EDED215" w14:textId="77777777" w:rsidR="00720DB5" w:rsidRDefault="00720DB5" w:rsidP="00EF6BBB">
      <w:pPr>
        <w:pStyle w:val="EndnoteText"/>
      </w:pPr>
      <w:r>
        <w:rPr>
          <w:rStyle w:val="EndnoteReference"/>
        </w:rPr>
        <w:endnoteRef/>
      </w:r>
      <w:r>
        <w:t xml:space="preserve"> </w:t>
      </w:r>
      <w:r w:rsidRPr="007F383F">
        <w:t>20,300 tCO2e attributed to UKIB’s share of the finance</w:t>
      </w:r>
      <w:r>
        <w:t>.</w:t>
      </w:r>
    </w:p>
  </w:endnote>
  <w:endnote w:id="8">
    <w:p w14:paraId="752E5B86" w14:textId="77777777" w:rsidR="00720DB5" w:rsidRDefault="00720DB5" w:rsidP="00EF6BBB">
      <w:pPr>
        <w:pStyle w:val="EndnoteText"/>
      </w:pPr>
      <w:r>
        <w:rPr>
          <w:rStyle w:val="EndnoteReference"/>
        </w:rPr>
        <w:endnoteRef/>
      </w:r>
      <w:r>
        <w:t xml:space="preserve"> </w:t>
      </w:r>
      <w:r w:rsidRPr="007F383F">
        <w:t>Based on size of financing round and UKIB contribution (£50m).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Futura PT Medium">
    <w:panose1 w:val="020B0602020204020303"/>
    <w:charset w:val="00"/>
    <w:family w:val="swiss"/>
    <w:notTrueType/>
    <w:pitch w:val="variable"/>
    <w:sig w:usb0="A00002FF" w:usb1="5000204B" w:usb2="00000000" w:usb3="00000000" w:csb0="00000097" w:csb1="00000000"/>
  </w:font>
  <w:font w:name="Futura PT Book">
    <w:panose1 w:val="020B0502020204020303"/>
    <w:charset w:val="00"/>
    <w:family w:val="swiss"/>
    <w:notTrueType/>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4AADB02" w14:paraId="415EBBA3" w14:textId="77777777" w:rsidTr="0050259B">
      <w:trPr>
        <w:trHeight w:val="300"/>
      </w:trPr>
      <w:tc>
        <w:tcPr>
          <w:tcW w:w="3005" w:type="dxa"/>
        </w:tcPr>
        <w:p w14:paraId="0E7A131A" w14:textId="77777777" w:rsidR="24AADB02" w:rsidRDefault="00000000" w:rsidP="00EF6BBB">
          <w:pPr>
            <w:pStyle w:val="Header"/>
          </w:pPr>
        </w:p>
      </w:tc>
      <w:tc>
        <w:tcPr>
          <w:tcW w:w="3005" w:type="dxa"/>
        </w:tcPr>
        <w:p w14:paraId="7C3B83D0" w14:textId="77777777" w:rsidR="24AADB02" w:rsidRDefault="00000000" w:rsidP="00EF6BBB">
          <w:pPr>
            <w:pStyle w:val="Header"/>
          </w:pPr>
        </w:p>
      </w:tc>
      <w:tc>
        <w:tcPr>
          <w:tcW w:w="3005" w:type="dxa"/>
        </w:tcPr>
        <w:p w14:paraId="123CCBAF" w14:textId="77777777" w:rsidR="24AADB02" w:rsidRDefault="00000000" w:rsidP="00EF6BBB">
          <w:pPr>
            <w:pStyle w:val="Header"/>
          </w:pPr>
        </w:p>
      </w:tc>
    </w:tr>
  </w:tbl>
  <w:p w14:paraId="6A51257E" w14:textId="77777777" w:rsidR="00637963" w:rsidRDefault="00000000" w:rsidP="00EF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D490" w14:textId="77777777" w:rsidR="00A615E3" w:rsidRDefault="00A615E3" w:rsidP="00EF6BBB">
      <w:r>
        <w:separator/>
      </w:r>
    </w:p>
  </w:footnote>
  <w:footnote w:type="continuationSeparator" w:id="0">
    <w:p w14:paraId="6CD72481" w14:textId="77777777" w:rsidR="00A615E3" w:rsidRDefault="00A615E3" w:rsidP="00EF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915EB"/>
    <w:multiLevelType w:val="hybridMultilevel"/>
    <w:tmpl w:val="78DC1044"/>
    <w:lvl w:ilvl="0" w:tplc="705867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286007">
    <w:abstractNumId w:val="0"/>
  </w:num>
  <w:num w:numId="2" w16cid:durableId="1909919888">
    <w:abstractNumId w:val="0"/>
  </w:num>
  <w:num w:numId="3" w16cid:durableId="623582240">
    <w:abstractNumId w:val="0"/>
  </w:num>
  <w:num w:numId="4" w16cid:durableId="83298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0DB5"/>
    <w:rsid w:val="00006837"/>
    <w:rsid w:val="000E33C1"/>
    <w:rsid w:val="000F47EC"/>
    <w:rsid w:val="001B0768"/>
    <w:rsid w:val="001D1C8D"/>
    <w:rsid w:val="0022242C"/>
    <w:rsid w:val="00226708"/>
    <w:rsid w:val="002E244B"/>
    <w:rsid w:val="002F0E1B"/>
    <w:rsid w:val="00350089"/>
    <w:rsid w:val="003A5460"/>
    <w:rsid w:val="004969A9"/>
    <w:rsid w:val="004A551E"/>
    <w:rsid w:val="004B3468"/>
    <w:rsid w:val="005F3FDC"/>
    <w:rsid w:val="0064175D"/>
    <w:rsid w:val="00663761"/>
    <w:rsid w:val="006666C1"/>
    <w:rsid w:val="006A3641"/>
    <w:rsid w:val="00720DB5"/>
    <w:rsid w:val="00726A48"/>
    <w:rsid w:val="00781EBF"/>
    <w:rsid w:val="007B21C2"/>
    <w:rsid w:val="007F4CD2"/>
    <w:rsid w:val="008669BB"/>
    <w:rsid w:val="008A505C"/>
    <w:rsid w:val="008C3FD1"/>
    <w:rsid w:val="008F3306"/>
    <w:rsid w:val="008F543D"/>
    <w:rsid w:val="009D6371"/>
    <w:rsid w:val="00A05F56"/>
    <w:rsid w:val="00A615E3"/>
    <w:rsid w:val="00AD04BF"/>
    <w:rsid w:val="00AD60FD"/>
    <w:rsid w:val="00B126C2"/>
    <w:rsid w:val="00BB4C30"/>
    <w:rsid w:val="00C313AF"/>
    <w:rsid w:val="00C75657"/>
    <w:rsid w:val="00CB4008"/>
    <w:rsid w:val="00CC75EB"/>
    <w:rsid w:val="00D461A2"/>
    <w:rsid w:val="00D512F2"/>
    <w:rsid w:val="00E42A6E"/>
    <w:rsid w:val="00E828A1"/>
    <w:rsid w:val="00ED7FE0"/>
    <w:rsid w:val="00EF6BBB"/>
    <w:rsid w:val="00F264AA"/>
    <w:rsid w:val="00F77ACF"/>
    <w:rsid w:val="00F815F6"/>
    <w:rsid w:val="00FA2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D76D"/>
  <w15:chartTrackingRefBased/>
  <w15:docId w15:val="{741BFC5F-75A4-478A-977A-EE63C3AF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BBB"/>
    <w:pPr>
      <w:spacing w:after="0" w:line="240" w:lineRule="auto"/>
    </w:pPr>
    <w:rPr>
      <w:rFonts w:ascii="Nunito Sans" w:hAnsi="Nunito Sans"/>
      <w:noProof/>
      <w:sz w:val="24"/>
      <w:szCs w:val="24"/>
    </w:rPr>
  </w:style>
  <w:style w:type="paragraph" w:styleId="Heading1">
    <w:name w:val="heading 1"/>
    <w:basedOn w:val="Normal"/>
    <w:next w:val="Normal"/>
    <w:link w:val="Heading1Char"/>
    <w:autoRedefine/>
    <w:uiPriority w:val="9"/>
    <w:qFormat/>
    <w:rsid w:val="00EF6BBB"/>
    <w:pPr>
      <w:keepNext/>
      <w:keepLines/>
      <w:spacing w:before="240" w:after="120"/>
      <w:outlineLvl w:val="0"/>
    </w:pPr>
    <w:rPr>
      <w:rFonts w:ascii="Futura PT Medium" w:eastAsiaTheme="majorEastAsia" w:hAnsi="Futura PT Medium" w:cstheme="majorBidi"/>
      <w:color w:val="002B20"/>
      <w:sz w:val="40"/>
      <w:szCs w:val="32"/>
    </w:rPr>
  </w:style>
  <w:style w:type="paragraph" w:styleId="Heading2">
    <w:name w:val="heading 2"/>
    <w:basedOn w:val="Normal"/>
    <w:next w:val="Normal"/>
    <w:link w:val="Heading2Char"/>
    <w:autoRedefine/>
    <w:uiPriority w:val="9"/>
    <w:unhideWhenUsed/>
    <w:qFormat/>
    <w:rsid w:val="00781EBF"/>
    <w:pPr>
      <w:keepNext/>
      <w:keepLines/>
      <w:spacing w:before="120" w:after="120"/>
      <w:outlineLvl w:val="1"/>
    </w:pPr>
    <w:rPr>
      <w:rFonts w:ascii="Futura PT Medium" w:eastAsiaTheme="majorEastAsia" w:hAnsi="Futura PT Medium" w:cstheme="majorBidi"/>
      <w:color w:val="00C492"/>
      <w:sz w:val="28"/>
      <w:szCs w:val="26"/>
    </w:rPr>
  </w:style>
  <w:style w:type="paragraph" w:styleId="Heading3">
    <w:name w:val="heading 3"/>
    <w:basedOn w:val="Normal"/>
    <w:next w:val="Normal"/>
    <w:link w:val="Heading3Char"/>
    <w:autoRedefine/>
    <w:uiPriority w:val="9"/>
    <w:unhideWhenUsed/>
    <w:qFormat/>
    <w:rsid w:val="00781EBF"/>
    <w:pPr>
      <w:keepNext/>
      <w:keepLines/>
      <w:spacing w:before="40"/>
      <w:outlineLvl w:val="2"/>
    </w:pPr>
    <w:rPr>
      <w:rFonts w:ascii="Futura PT Medium" w:eastAsiaTheme="majorEastAsia" w:hAnsi="Futura PT Medium" w:cstheme="majorBidi"/>
      <w:color w:val="002B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BBB"/>
    <w:rPr>
      <w:rFonts w:ascii="Futura PT Medium" w:eastAsiaTheme="majorEastAsia" w:hAnsi="Futura PT Medium" w:cstheme="majorBidi"/>
      <w:color w:val="002B20"/>
      <w:sz w:val="40"/>
      <w:szCs w:val="32"/>
    </w:rPr>
  </w:style>
  <w:style w:type="character" w:customStyle="1" w:styleId="Heading2Char">
    <w:name w:val="Heading 2 Char"/>
    <w:basedOn w:val="DefaultParagraphFont"/>
    <w:link w:val="Heading2"/>
    <w:uiPriority w:val="9"/>
    <w:rsid w:val="00781EBF"/>
    <w:rPr>
      <w:rFonts w:ascii="Futura PT Medium" w:eastAsiaTheme="majorEastAsia" w:hAnsi="Futura PT Medium" w:cstheme="majorBidi"/>
      <w:color w:val="00C492"/>
      <w:sz w:val="28"/>
      <w:szCs w:val="26"/>
    </w:rPr>
  </w:style>
  <w:style w:type="paragraph" w:styleId="Title">
    <w:name w:val="Title"/>
    <w:basedOn w:val="Normal"/>
    <w:next w:val="Normal"/>
    <w:link w:val="TitleChar"/>
    <w:autoRedefine/>
    <w:uiPriority w:val="10"/>
    <w:qFormat/>
    <w:rsid w:val="00AD04BF"/>
    <w:pPr>
      <w:pBdr>
        <w:bottom w:val="single" w:sz="12" w:space="10" w:color="00C492"/>
      </w:pBdr>
      <w:spacing w:after="240"/>
      <w:contextualSpacing/>
    </w:pPr>
    <w:rPr>
      <w:rFonts w:eastAsiaTheme="majorEastAsia" w:cstheme="majorBidi"/>
      <w:b/>
      <w:color w:val="002B20"/>
      <w:spacing w:val="-10"/>
      <w:kern w:val="28"/>
      <w:sz w:val="72"/>
      <w:szCs w:val="56"/>
    </w:rPr>
  </w:style>
  <w:style w:type="character" w:customStyle="1" w:styleId="TitleChar">
    <w:name w:val="Title Char"/>
    <w:basedOn w:val="DefaultParagraphFont"/>
    <w:link w:val="Title"/>
    <w:uiPriority w:val="10"/>
    <w:rsid w:val="00AD04BF"/>
    <w:rPr>
      <w:rFonts w:ascii="Futura PT Book" w:eastAsiaTheme="majorEastAsia" w:hAnsi="Futura PT Book" w:cstheme="majorBidi"/>
      <w:b/>
      <w:color w:val="002B20"/>
      <w:spacing w:val="-10"/>
      <w:kern w:val="28"/>
      <w:sz w:val="72"/>
      <w:szCs w:val="56"/>
    </w:rPr>
  </w:style>
  <w:style w:type="table" w:customStyle="1" w:styleId="UKIB">
    <w:name w:val="UKIB"/>
    <w:basedOn w:val="TableNormal"/>
    <w:uiPriority w:val="99"/>
    <w:rsid w:val="004B3468"/>
    <w:pPr>
      <w:spacing w:after="0" w:line="240" w:lineRule="auto"/>
    </w:pPr>
    <w:rPr>
      <w:rFonts w:ascii="Arial" w:hAnsi="Arial"/>
    </w:rPr>
    <w:tblPr>
      <w:tblStyleRowBandSize w:val="1"/>
      <w:tblBorders>
        <w:insideH w:val="single" w:sz="4" w:space="0" w:color="99C7B0"/>
        <w:insideV w:val="single" w:sz="4" w:space="0" w:color="99C7B0"/>
      </w:tblBorders>
      <w:tblCellMar>
        <w:top w:w="85" w:type="dxa"/>
        <w:left w:w="85" w:type="dxa"/>
        <w:bottom w:w="85" w:type="dxa"/>
        <w:right w:w="85" w:type="dxa"/>
      </w:tblCellMar>
    </w:tblPr>
    <w:tcPr>
      <w:shd w:val="clear" w:color="auto" w:fill="C9E1D5"/>
    </w:tcPr>
    <w:tblStylePr w:type="firstRow">
      <w:rPr>
        <w:color w:val="FFFFFF" w:themeColor="background1"/>
      </w:rPr>
      <w:tblPr/>
      <w:tcPr>
        <w:shd w:val="clear" w:color="auto" w:fill="002B20"/>
      </w:tcPr>
    </w:tblStylePr>
    <w:tblStylePr w:type="band1Horz">
      <w:tblPr/>
      <w:tcPr>
        <w:shd w:val="clear" w:color="auto" w:fill="C9E1D5"/>
      </w:tcPr>
    </w:tblStylePr>
    <w:tblStylePr w:type="band2Horz">
      <w:tblPr/>
      <w:tcPr>
        <w:shd w:val="clear" w:color="auto" w:fill="FFFFFF" w:themeFill="background1"/>
      </w:tcPr>
    </w:tblStylePr>
  </w:style>
  <w:style w:type="paragraph" w:styleId="ListParagraph">
    <w:name w:val="List Paragraph"/>
    <w:basedOn w:val="Normal"/>
    <w:autoRedefine/>
    <w:uiPriority w:val="34"/>
    <w:qFormat/>
    <w:rsid w:val="00781EBF"/>
    <w:pPr>
      <w:spacing w:before="120"/>
      <w:ind w:left="714" w:hanging="357"/>
    </w:pPr>
  </w:style>
  <w:style w:type="character" w:customStyle="1" w:styleId="Heading3Char">
    <w:name w:val="Heading 3 Char"/>
    <w:basedOn w:val="DefaultParagraphFont"/>
    <w:link w:val="Heading3"/>
    <w:uiPriority w:val="9"/>
    <w:rsid w:val="00781EBF"/>
    <w:rPr>
      <w:rFonts w:ascii="Futura PT Medium" w:eastAsiaTheme="majorEastAsia" w:hAnsi="Futura PT Medium" w:cstheme="majorBidi"/>
      <w:color w:val="002B20"/>
      <w:sz w:val="28"/>
      <w:szCs w:val="24"/>
    </w:rPr>
  </w:style>
  <w:style w:type="table" w:styleId="TableGrid">
    <w:name w:val="Table Grid"/>
    <w:basedOn w:val="TableNormal"/>
    <w:uiPriority w:val="59"/>
    <w:rsid w:val="0072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DB5"/>
    <w:pPr>
      <w:tabs>
        <w:tab w:val="center" w:pos="4513"/>
        <w:tab w:val="right" w:pos="9026"/>
      </w:tabs>
    </w:pPr>
  </w:style>
  <w:style w:type="character" w:customStyle="1" w:styleId="HeaderChar">
    <w:name w:val="Header Char"/>
    <w:basedOn w:val="DefaultParagraphFont"/>
    <w:link w:val="Header"/>
    <w:uiPriority w:val="99"/>
    <w:rsid w:val="00720DB5"/>
  </w:style>
  <w:style w:type="paragraph" w:styleId="Footer">
    <w:name w:val="footer"/>
    <w:basedOn w:val="Normal"/>
    <w:link w:val="FooterChar"/>
    <w:uiPriority w:val="99"/>
    <w:unhideWhenUsed/>
    <w:rsid w:val="00720DB5"/>
    <w:pPr>
      <w:tabs>
        <w:tab w:val="center" w:pos="4513"/>
        <w:tab w:val="right" w:pos="9026"/>
      </w:tabs>
    </w:pPr>
  </w:style>
  <w:style w:type="character" w:customStyle="1" w:styleId="FooterChar">
    <w:name w:val="Footer Char"/>
    <w:basedOn w:val="DefaultParagraphFont"/>
    <w:link w:val="Footer"/>
    <w:uiPriority w:val="99"/>
    <w:rsid w:val="00720DB5"/>
  </w:style>
  <w:style w:type="table" w:styleId="PlainTable1">
    <w:name w:val="Plain Table 1"/>
    <w:basedOn w:val="TableNormal"/>
    <w:uiPriority w:val="41"/>
    <w:rsid w:val="00720D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20DB5"/>
    <w:rPr>
      <w:color w:val="0000FF"/>
      <w:u w:val="single"/>
    </w:rPr>
  </w:style>
  <w:style w:type="paragraph" w:styleId="EndnoteText">
    <w:name w:val="endnote text"/>
    <w:basedOn w:val="Normal"/>
    <w:link w:val="EndnoteTextChar"/>
    <w:uiPriority w:val="99"/>
    <w:unhideWhenUsed/>
    <w:rsid w:val="00720DB5"/>
    <w:rPr>
      <w:sz w:val="20"/>
      <w:szCs w:val="20"/>
    </w:rPr>
  </w:style>
  <w:style w:type="character" w:customStyle="1" w:styleId="EndnoteTextChar">
    <w:name w:val="Endnote Text Char"/>
    <w:basedOn w:val="DefaultParagraphFont"/>
    <w:link w:val="EndnoteText"/>
    <w:uiPriority w:val="99"/>
    <w:rsid w:val="00720DB5"/>
    <w:rPr>
      <w:sz w:val="20"/>
      <w:szCs w:val="20"/>
    </w:rPr>
  </w:style>
  <w:style w:type="character" w:styleId="EndnoteReference">
    <w:name w:val="endnote reference"/>
    <w:basedOn w:val="DefaultParagraphFont"/>
    <w:uiPriority w:val="99"/>
    <w:semiHidden/>
    <w:unhideWhenUsed/>
    <w:rsid w:val="00720DB5"/>
    <w:rPr>
      <w:vertAlign w:val="superscript"/>
    </w:rPr>
  </w:style>
  <w:style w:type="paragraph" w:styleId="Subtitle">
    <w:name w:val="Subtitle"/>
    <w:basedOn w:val="Heading1"/>
    <w:next w:val="Normal"/>
    <w:link w:val="SubtitleChar"/>
    <w:uiPriority w:val="11"/>
    <w:qFormat/>
    <w:rsid w:val="00720DB5"/>
  </w:style>
  <w:style w:type="character" w:customStyle="1" w:styleId="SubtitleChar">
    <w:name w:val="Subtitle Char"/>
    <w:basedOn w:val="DefaultParagraphFont"/>
    <w:link w:val="Subtitle"/>
    <w:uiPriority w:val="11"/>
    <w:rsid w:val="00720DB5"/>
    <w:rPr>
      <w:rFonts w:ascii="Futura PT Medium" w:eastAsiaTheme="majorEastAsia" w:hAnsi="Futura PT Medium" w:cstheme="majorBidi"/>
      <w:color w:val="002B20"/>
      <w:sz w:val="40"/>
      <w:szCs w:val="32"/>
    </w:rPr>
  </w:style>
  <w:style w:type="paragraph" w:customStyle="1" w:styleId="Heading1White">
    <w:name w:val="Heading1 White"/>
    <w:basedOn w:val="Heading1"/>
    <w:link w:val="Heading1WhiteChar"/>
    <w:qFormat/>
    <w:rsid w:val="00EF6BBB"/>
    <w:pPr>
      <w:spacing w:before="120"/>
    </w:pPr>
    <w:rPr>
      <w:rFonts w:eastAsia="Times New Roman"/>
      <w:lang w:eastAsia="en-GB"/>
    </w:rPr>
  </w:style>
  <w:style w:type="character" w:styleId="UnresolvedMention">
    <w:name w:val="Unresolved Mention"/>
    <w:basedOn w:val="DefaultParagraphFont"/>
    <w:uiPriority w:val="99"/>
    <w:semiHidden/>
    <w:unhideWhenUsed/>
    <w:rsid w:val="00FA2222"/>
    <w:rPr>
      <w:color w:val="605E5C"/>
      <w:shd w:val="clear" w:color="auto" w:fill="E1DFDD"/>
    </w:rPr>
  </w:style>
  <w:style w:type="character" w:customStyle="1" w:styleId="Heading1WhiteChar">
    <w:name w:val="Heading1 White Char"/>
    <w:basedOn w:val="Heading1Char"/>
    <w:link w:val="Heading1White"/>
    <w:rsid w:val="00EF6BBB"/>
    <w:rPr>
      <w:rFonts w:ascii="Futura PT Medium" w:eastAsia="Times New Roman" w:hAnsi="Futura PT Medium" w:cstheme="majorBidi"/>
      <w:color w:val="002B20"/>
      <w:sz w:val="40"/>
      <w:szCs w:val="32"/>
      <w:lang w:eastAsia="en-GB"/>
    </w:rPr>
  </w:style>
  <w:style w:type="character" w:customStyle="1" w:styleId="normaltextrun">
    <w:name w:val="normaltextrun"/>
    <w:basedOn w:val="DefaultParagraphFont"/>
    <w:rsid w:val="008F543D"/>
  </w:style>
  <w:style w:type="character" w:customStyle="1" w:styleId="eop">
    <w:name w:val="eop"/>
    <w:basedOn w:val="DefaultParagraphFont"/>
    <w:rsid w:val="008F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atawrapper.de/_/8NF4B/" TargetMode="Externa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3" Type="http://schemas.openxmlformats.org/officeDocument/2006/relationships/hyperlink" Target="https://planningpublicaccess.havant.gov.uk/online-applications/applicationDetails.do?activeTab=documents&amp;keyVal=DCAPR_249340" TargetMode="External"/><Relationship Id="rId2" Type="http://schemas.openxmlformats.org/officeDocument/2006/relationships/hyperlink" Target="https://www.ciwem.org/assets/pdf/Policy/Policy%20Position%20Statement/New-public-water-supply-reservoirs.pdf" TargetMode="External"/><Relationship Id="rId1" Type="http://schemas.openxmlformats.org/officeDocument/2006/relationships/hyperlink" Target="file:///C:\Users\DavidShores\AppData\Local\Microsoft\Windows\INetCache\Content.Outlook\DWYUQ9V5\Havant-Thicket-CAM-final-decision-document.pdf" TargetMode="External"/><Relationship Id="rId4" Type="http://schemas.openxmlformats.org/officeDocument/2006/relationships/hyperlink" Target="https://www.portsmouthwater.co.uk/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BA749F4771409B02E433CA588CFE" ma:contentTypeVersion="14" ma:contentTypeDescription="Create a new document." ma:contentTypeScope="" ma:versionID="28cd0c876d680c004d9b0187e453355e">
  <xsd:schema xmlns:xsd="http://www.w3.org/2001/XMLSchema" xmlns:xs="http://www.w3.org/2001/XMLSchema" xmlns:p="http://schemas.microsoft.com/office/2006/metadata/properties" xmlns:ns2="385cd934-264a-4703-95c8-45aec3dffa05" xmlns:ns3="4d53a725-c3e8-429b-874b-dae198837a3d" targetNamespace="http://schemas.microsoft.com/office/2006/metadata/properties" ma:root="true" ma:fieldsID="8c2efc010ac6f9a48c78374b771f12fc" ns2:_="" ns3:_="">
    <xsd:import namespace="385cd934-264a-4703-95c8-45aec3dffa05"/>
    <xsd:import namespace="4d53a725-c3e8-429b-874b-dae198837a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cd934-264a-4703-95c8-45aec3dff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3a725-c3e8-429b-874b-dae198837a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8962452-c0c3-4af7-94b4-0b674449ac87}" ma:internalName="TaxCatchAll" ma:showField="CatchAllData" ma:web="4d53a725-c3e8-429b-874b-dae198837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E018C-2A8B-448C-8486-9B2C1AF3AFA9}"/>
</file>

<file path=customXml/itemProps2.xml><?xml version="1.0" encoding="utf-8"?>
<ds:datastoreItem xmlns:ds="http://schemas.openxmlformats.org/officeDocument/2006/customXml" ds:itemID="{6C6D113B-9B8B-4430-92FE-E17573BDD23D}"/>
</file>

<file path=docProps/app.xml><?xml version="1.0" encoding="utf-8"?>
<Properties xmlns="http://schemas.openxmlformats.org/officeDocument/2006/extended-properties" xmlns:vt="http://schemas.openxmlformats.org/officeDocument/2006/docPropsVTypes">
  <Template>Normal</Template>
  <TotalTime>1730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Shrimpton</dc:creator>
  <cp:keywords/>
  <dc:description/>
  <cp:lastModifiedBy>Guy Shrimpton</cp:lastModifiedBy>
  <cp:revision>33</cp:revision>
  <cp:lastPrinted>2023-03-14T16:14:00Z</cp:lastPrinted>
  <dcterms:created xsi:type="dcterms:W3CDTF">2023-02-28T11:52:00Z</dcterms:created>
  <dcterms:modified xsi:type="dcterms:W3CDTF">2023-03-16T09:27:00Z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2763b7-44b9-4efd-ab95-869db1a0fae4_Enabled">
    <vt:lpwstr>true</vt:lpwstr>
  </property>
  <property fmtid="{D5CDD505-2E9C-101B-9397-08002B2CF9AE}" pid="3" name="MSIP_Label_c82763b7-44b9-4efd-ab95-869db1a0fae4_SetDate">
    <vt:lpwstr>2023-02-28T11:52:04Z</vt:lpwstr>
  </property>
  <property fmtid="{D5CDD505-2E9C-101B-9397-08002B2CF9AE}" pid="4" name="MSIP_Label_c82763b7-44b9-4efd-ab95-869db1a0fae4_Method">
    <vt:lpwstr>Standard</vt:lpwstr>
  </property>
  <property fmtid="{D5CDD505-2E9C-101B-9397-08002B2CF9AE}" pid="5" name="MSIP_Label_c82763b7-44b9-4efd-ab95-869db1a0fae4_Name">
    <vt:lpwstr>UKIB - Sensitive</vt:lpwstr>
  </property>
  <property fmtid="{D5CDD505-2E9C-101B-9397-08002B2CF9AE}" pid="6" name="MSIP_Label_c82763b7-44b9-4efd-ab95-869db1a0fae4_SiteId">
    <vt:lpwstr>41aeddc4-7a6f-4859-be33-a09d36e22c32</vt:lpwstr>
  </property>
  <property fmtid="{D5CDD505-2E9C-101B-9397-08002B2CF9AE}" pid="7" name="MSIP_Label_c82763b7-44b9-4efd-ab95-869db1a0fae4_ActionId">
    <vt:lpwstr>a7288b31-192d-4ab4-90d0-64c353069106</vt:lpwstr>
  </property>
  <property fmtid="{D5CDD505-2E9C-101B-9397-08002B2CF9AE}" pid="8" name="MSIP_Label_c82763b7-44b9-4efd-ab95-869db1a0fae4_ContentBits">
    <vt:lpwstr>0</vt:lpwstr>
  </property>
</Properties>
</file>